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D7E4BD" w:themeColor="accent3" w:themeTint="66"/>
  <w:body>
    <w:p>
      <w:pPr>
        <w:jc w:val="center"/>
        <w:rPr>
          <w:rFonts w:ascii="宋体" w:eastAsia="宋体"/>
          <w:b/>
          <w:color w:val="333333"/>
          <w:sz w:val="36"/>
          <w:lang w:eastAsia="zh-CN"/>
        </w:rPr>
      </w:pPr>
      <w:r>
        <w:rPr>
          <w:rFonts w:hint="eastAsia" w:ascii="宋体" w:eastAsia="宋体"/>
          <w:b/>
          <w:color w:val="333333"/>
          <w:sz w:val="36"/>
          <w:lang w:eastAsia="zh-CN"/>
        </w:rPr>
        <w:t>吉林市船营区大东街道办事处政府信息公开工作</w:t>
      </w:r>
    </w:p>
    <w:p>
      <w:pPr>
        <w:jc w:val="center"/>
        <w:rPr>
          <w:rFonts w:hint="eastAsia" w:ascii="宋体" w:eastAsia="宋体"/>
          <w:b/>
          <w:color w:val="333333"/>
          <w:sz w:val="36"/>
          <w:lang w:eastAsia="zh-CN"/>
        </w:rPr>
      </w:pPr>
      <w:r>
        <w:rPr>
          <w:rFonts w:hint="eastAsia" w:ascii="宋体" w:eastAsia="宋体"/>
          <w:b/>
          <w:color w:val="333333"/>
          <w:sz w:val="36"/>
          <w:lang w:eastAsia="zh-CN"/>
        </w:rPr>
        <w:t>年度报告</w:t>
      </w:r>
    </w:p>
    <w:p>
      <w:pPr>
        <w:jc w:val="center"/>
        <w:rPr>
          <w:rFonts w:hint="eastAsia" w:ascii="宋体" w:eastAsia="宋体"/>
          <w:b/>
          <w:color w:val="333333"/>
          <w:sz w:val="36"/>
          <w:lang w:eastAsia="zh-CN"/>
        </w:rPr>
      </w:pPr>
    </w:p>
    <w:p>
      <w:pPr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根</w:t>
      </w:r>
      <w:r>
        <w:rPr>
          <w:rFonts w:hint="eastAsia" w:ascii="宋体" w:hAnsi="宋体" w:eastAsia="宋体" w:cs="宋体"/>
          <w:sz w:val="24"/>
          <w:szCs w:val="24"/>
        </w:rPr>
        <w:t>据《中华人民共和国政府信息公开条例》规定，现公布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吉林市船营区大东街道办事处政府信息公开工作年度报告。</w:t>
      </w:r>
    </w:p>
    <w:p>
      <w:p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一、总体情况</w:t>
      </w:r>
    </w:p>
    <w:p>
      <w:pPr>
        <w:ind w:firstLine="480" w:firstLineChars="200"/>
        <w:rPr>
          <w:rFonts w:asciiTheme="minorEastAsia" w:hAnsiTheme="minorEastAsia" w:eastAsiaTheme="minorEastAsia"/>
          <w:sz w:val="24"/>
          <w:szCs w:val="24"/>
          <w:lang w:eastAsia="zh-CN"/>
        </w:rPr>
      </w:pPr>
      <w:r>
        <w:rPr>
          <w:rFonts w:asciiTheme="minorEastAsia" w:hAnsiTheme="minorEastAsia" w:eastAsiaTheme="minorEastAsia"/>
          <w:sz w:val="24"/>
          <w:szCs w:val="24"/>
          <w:lang w:eastAsia="zh-CN"/>
        </w:rPr>
        <w:t>我街认真执行《中华人民共和国政府信息公开条例》规定，高度重视政府信息公开工作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，</w:t>
      </w:r>
      <w:r>
        <w:rPr>
          <w:rFonts w:asciiTheme="minorEastAsia" w:hAnsiTheme="minorEastAsia" w:eastAsiaTheme="minorEastAsia"/>
          <w:sz w:val="24"/>
          <w:szCs w:val="24"/>
          <w:lang w:eastAsia="zh-CN"/>
        </w:rPr>
        <w:t>成立了由党工委书记任组长，副书记为副组长，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综合办公室</w:t>
      </w:r>
      <w:r>
        <w:rPr>
          <w:rFonts w:asciiTheme="minorEastAsia" w:hAnsiTheme="minorEastAsia" w:eastAsiaTheme="minorEastAsia"/>
          <w:sz w:val="24"/>
          <w:szCs w:val="24"/>
          <w:lang w:eastAsia="zh-CN"/>
        </w:rPr>
        <w:t>负责人等为成员的街道政务公开领导小组，建立健全了街道信息公开的工作制度和工作机制，对信息公开遵循的原则、内容形式、组织领导、责任追究等作出具体规定：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right="0" w:firstLine="482"/>
        <w:jc w:val="left"/>
        <w:textAlignment w:val="auto"/>
        <w:rPr>
          <w:rFonts w:asciiTheme="minorEastAsia" w:hAnsiTheme="minorEastAsia" w:eastAsiaTheme="minorEastAsia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sz w:val="24"/>
          <w:szCs w:val="24"/>
        </w:rPr>
        <w:t>（一）组织推动全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区</w:t>
      </w:r>
      <w:r>
        <w:rPr>
          <w:rFonts w:hint="eastAsia" w:ascii="楷体" w:hAnsi="楷体" w:eastAsia="楷体" w:cs="楷体"/>
          <w:sz w:val="24"/>
          <w:szCs w:val="24"/>
        </w:rPr>
        <w:t>政府信息公开工作。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船营区大东街道办事处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高度重视政府信息公开工作，把政务公开纳入议事日程，常议常抓，定期调度安排部署工作。兴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大东街道办事处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对重点任务进行认领，明确具体措施，按照时间表、路线图逐步推进决策、执行、管理、服务和结果“五公开”。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right="0" w:firstLine="480"/>
        <w:jc w:val="left"/>
        <w:textAlignment w:val="auto"/>
      </w:pPr>
      <w:r>
        <w:rPr>
          <w:rFonts w:hint="eastAsia" w:ascii="楷体" w:hAnsi="楷体" w:eastAsia="楷体" w:cs="楷体"/>
          <w:sz w:val="24"/>
          <w:szCs w:val="24"/>
        </w:rPr>
        <w:t>（二）积极推动政府信息主动公开。</w:t>
      </w:r>
      <w:r>
        <w:rPr>
          <w:rFonts w:ascii="宋体" w:hAnsi="宋体" w:eastAsia="宋体" w:cs="宋体"/>
          <w:kern w:val="0"/>
          <w:sz w:val="24"/>
          <w:szCs w:val="24"/>
          <w:shd w:val="clear" w:fill="FFFFFF"/>
          <w:lang w:val="en-US" w:eastAsia="zh-CN" w:bidi="ar"/>
        </w:rPr>
        <w:t>根据《条例》切实履行公开职责，强力推进政府信息公开工作，持续推进政府信息主动公开规范化。进一步突出主动公开重点，把人民群众普遍关日常关切、涉及人民群众切身利益的问题作为政府信息公开的重点领域内容，围绕行政主体基本情况和行政决策、执行、监督的程序、方法、结果等事项，不断拓展政府信息公开的内容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right="0" w:firstLine="480"/>
        <w:jc w:val="left"/>
        <w:textAlignment w:val="auto"/>
      </w:pPr>
      <w:r>
        <w:rPr>
          <w:rFonts w:hint="eastAsia" w:ascii="楷体" w:hAnsi="楷体" w:eastAsia="楷体" w:cs="楷体"/>
          <w:sz w:val="24"/>
          <w:szCs w:val="24"/>
        </w:rPr>
        <w:t>（三）认真规范处理依申请公开。</w:t>
      </w:r>
      <w:r>
        <w:rPr>
          <w:rFonts w:hint="eastAsia" w:ascii="宋体" w:hAnsi="宋体" w:eastAsia="宋体" w:cs="宋体"/>
          <w:kern w:val="0"/>
          <w:sz w:val="24"/>
          <w:szCs w:val="24"/>
          <w:shd w:val="clear" w:fill="FFFFFF"/>
          <w:lang w:val="en-US" w:eastAsia="zh-CN" w:bidi="ar"/>
        </w:rPr>
        <w:t>大东街道严格执行《条例》规定，在政府网站全方位规范政府信息公开申请办理工作，持续优化依申请公开工作流程。同时，严格按照《条例》要求认真规范处理依申请公开，始终做好保密工作，做到“上网信息不涉密，涉密信息不上网”，确保在做好政府信息公开工作中，不发生失泄密问题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right="0" w:firstLine="480"/>
        <w:jc w:val="lef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（四）不断强化政府信息公开平台内容保障。</w:t>
      </w:r>
      <w:r>
        <w:rPr>
          <w:rFonts w:hint="eastAsia" w:ascii="宋体" w:hAnsi="宋体" w:eastAsia="宋体" w:cs="宋体"/>
          <w:kern w:val="0"/>
          <w:sz w:val="24"/>
          <w:szCs w:val="24"/>
          <w:shd w:val="clear" w:fill="FFFFFF"/>
          <w:lang w:val="en-US" w:eastAsia="zh-CN" w:bidi="ar"/>
        </w:rPr>
        <w:t>大东街</w:t>
      </w:r>
      <w:r>
        <w:rPr>
          <w:rFonts w:hint="eastAsia" w:ascii="宋体" w:hAnsi="宋体" w:eastAsia="宋体" w:cs="宋体"/>
          <w:kern w:val="0"/>
          <w:sz w:val="24"/>
          <w:szCs w:val="24"/>
          <w:shd w:val="clear" w:fill="FFFFFF"/>
          <w:lang w:val="en-US" w:eastAsia="zh-CN" w:bidi="ar"/>
        </w:rPr>
        <w:t>道</w:t>
      </w:r>
      <w:r>
        <w:rPr>
          <w:rFonts w:ascii="宋体" w:hAnsi="宋体" w:eastAsia="宋体" w:cs="宋体"/>
          <w:kern w:val="0"/>
          <w:sz w:val="24"/>
          <w:szCs w:val="24"/>
          <w:shd w:val="clear" w:fill="FFFFFF"/>
          <w:lang w:val="en-US" w:eastAsia="zh-CN" w:bidi="ar"/>
        </w:rPr>
        <w:t>积极推动公开平台建设，不断完善政务服务事项办事指南，加大公开力度，利用政府信息公开平台公开政府信息，进一步保障公众的知情权、参与权和监督权。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sz w:val="24"/>
          <w:szCs w:val="24"/>
        </w:rPr>
        <w:t>（五）全力做好宣传培训评估考核等基础工作。</w:t>
      </w:r>
      <w:r>
        <w:rPr>
          <w:rFonts w:asciiTheme="minorEastAsia" w:hAnsiTheme="minorEastAsia" w:eastAsiaTheme="minorEastAsia"/>
          <w:sz w:val="24"/>
          <w:szCs w:val="24"/>
          <w:lang w:eastAsia="zh-CN"/>
        </w:rPr>
        <w:t>组织街道机关干部、职工加强《条例》的学习、宣传、培训等方面的工作，把此项工作作为推进依法行政、改进工作作风的工作来抓，列入重要议事日程。加强政府信息公开业务学习和培训，注重条线横向联系、纵向指导的沟通协调机制，不断提升政府信息公开整体工作水平。</w:t>
      </w:r>
    </w:p>
    <w:p>
      <w:pPr>
        <w:ind w:firstLine="480" w:firstLineChars="200"/>
        <w:rPr>
          <w:rFonts w:ascii="宋体" w:hAnsi="宋体" w:eastAsia="宋体" w:cs="宋体"/>
          <w:sz w:val="24"/>
          <w:szCs w:val="24"/>
        </w:rPr>
      </w:pPr>
    </w:p>
    <w:p>
      <w:p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二、主动公开政府信息情况</w:t>
      </w:r>
    </w:p>
    <w:tbl>
      <w:tblPr>
        <w:tblStyle w:val="6"/>
        <w:tblW w:w="901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61"/>
        <w:gridCol w:w="2184"/>
        <w:gridCol w:w="2184"/>
        <w:gridCol w:w="218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01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1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本年制发件数</w:t>
            </w:r>
          </w:p>
        </w:tc>
        <w:tc>
          <w:tcPr>
            <w:tcW w:w="21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现行有效件数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numPr>
          <w:ilvl w:val="0"/>
          <w:numId w:val="1"/>
        </w:num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收到和处理政府信息公开申请情况</w:t>
      </w:r>
    </w:p>
    <w:tbl>
      <w:tblPr>
        <w:tblStyle w:val="7"/>
        <w:tblW w:w="90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815"/>
        <w:gridCol w:w="2651"/>
        <w:gridCol w:w="685"/>
        <w:gridCol w:w="696"/>
        <w:gridCol w:w="729"/>
        <w:gridCol w:w="707"/>
        <w:gridCol w:w="762"/>
        <w:gridCol w:w="685"/>
        <w:gridCol w:w="6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4135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909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4135" w:type="dxa"/>
            <w:gridSpan w:val="3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8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589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33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35" w:type="dxa"/>
            <w:gridSpan w:val="3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87" w:type="dxa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>
            <w:pPr>
              <w:widowControl/>
              <w:spacing w:line="12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商业企业</w:t>
            </w:r>
          </w:p>
        </w:tc>
        <w:tc>
          <w:tcPr>
            <w:tcW w:w="731" w:type="dxa"/>
            <w:vAlign w:val="center"/>
          </w:tcPr>
          <w:p>
            <w:pPr>
              <w:widowControl/>
              <w:spacing w:line="12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科研机构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12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764" w:type="dxa"/>
            <w:vAlign w:val="center"/>
          </w:tcPr>
          <w:p>
            <w:pPr>
              <w:widowControl/>
              <w:spacing w:line="12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spacing w:line="12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33" w:type="dxa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4135" w:type="dxa"/>
            <w:gridSpan w:val="3"/>
            <w:vAlign w:val="center"/>
          </w:tcPr>
          <w:p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87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8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1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4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3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4135" w:type="dxa"/>
            <w:gridSpan w:val="3"/>
            <w:vAlign w:val="center"/>
          </w:tcPr>
          <w:p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87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8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1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4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3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55" w:type="dxa"/>
            <w:vMerge w:val="restart"/>
            <w:vAlign w:val="center"/>
          </w:tcPr>
          <w:p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spacing w:line="12" w:lineRule="atLeast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3480" w:type="dxa"/>
            <w:gridSpan w:val="2"/>
            <w:vAlign w:val="center"/>
          </w:tcPr>
          <w:p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87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8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1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4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3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5" w:type="dxa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3480" w:type="dxa"/>
            <w:gridSpan w:val="2"/>
            <w:vAlign w:val="center"/>
          </w:tcPr>
          <w:p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87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8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1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4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3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55" w:type="dxa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vMerge w:val="restart"/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2662" w:type="dxa"/>
            <w:vAlign w:val="center"/>
          </w:tcPr>
          <w:p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87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8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1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4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3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5" w:type="dxa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vAlign w:val="center"/>
          </w:tcPr>
          <w:p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87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8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1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4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3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5" w:type="dxa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vAlign w:val="center"/>
          </w:tcPr>
          <w:p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87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8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1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4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3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5" w:type="dxa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vAlign w:val="center"/>
          </w:tcPr>
          <w:p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87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8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1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4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3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655" w:type="dxa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vAlign w:val="center"/>
          </w:tcPr>
          <w:p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87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8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1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4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3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655" w:type="dxa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vAlign w:val="center"/>
          </w:tcPr>
          <w:p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87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8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1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4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3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55" w:type="dxa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vAlign w:val="center"/>
          </w:tcPr>
          <w:p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87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8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1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4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3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55" w:type="dxa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vAlign w:val="center"/>
          </w:tcPr>
          <w:p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87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8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1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4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3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5" w:type="dxa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vMerge w:val="restart"/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2662" w:type="dxa"/>
            <w:vAlign w:val="center"/>
          </w:tcPr>
          <w:p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87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8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1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4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3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5" w:type="dxa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vAlign w:val="center"/>
          </w:tcPr>
          <w:p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87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8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1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4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3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55" w:type="dxa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vAlign w:val="center"/>
          </w:tcPr>
          <w:p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87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8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1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4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3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5" w:type="dxa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vMerge w:val="restart"/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2662" w:type="dxa"/>
            <w:vAlign w:val="center"/>
          </w:tcPr>
          <w:p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87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8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1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4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3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655" w:type="dxa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vAlign w:val="center"/>
          </w:tcPr>
          <w:p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87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8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1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4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3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5" w:type="dxa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vAlign w:val="center"/>
          </w:tcPr>
          <w:p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87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8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1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4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3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655" w:type="dxa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vAlign w:val="center"/>
          </w:tcPr>
          <w:p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87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8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1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4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3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5" w:type="dxa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vAlign w:val="center"/>
          </w:tcPr>
          <w:p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87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8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1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4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3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5" w:type="dxa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vMerge w:val="restart"/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2662" w:type="dxa"/>
            <w:vAlign w:val="center"/>
          </w:tcPr>
          <w:p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87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8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1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4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3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5" w:type="dxa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vAlign w:val="center"/>
          </w:tcPr>
          <w:p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7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8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1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4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3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655" w:type="dxa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vAlign w:val="center"/>
          </w:tcPr>
          <w:p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87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8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1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4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3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655" w:type="dxa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3480" w:type="dxa"/>
            <w:gridSpan w:val="2"/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87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8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1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4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3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4135" w:type="dxa"/>
            <w:gridSpan w:val="3"/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687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8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1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4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3" w:type="dxa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numPr>
          <w:ilvl w:val="0"/>
          <w:numId w:val="1"/>
        </w:num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政府信息公开行政复议、行政诉讼情况</w:t>
      </w:r>
    </w:p>
    <w:tbl>
      <w:tblPr>
        <w:tblStyle w:val="6"/>
        <w:tblW w:w="907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99"/>
        <w:gridCol w:w="599"/>
        <w:gridCol w:w="599"/>
        <w:gridCol w:w="606"/>
        <w:gridCol w:w="600"/>
        <w:gridCol w:w="629"/>
        <w:gridCol w:w="600"/>
        <w:gridCol w:w="600"/>
        <w:gridCol w:w="618"/>
        <w:gridCol w:w="600"/>
        <w:gridCol w:w="600"/>
        <w:gridCol w:w="600"/>
        <w:gridCol w:w="607"/>
        <w:gridCol w:w="600"/>
        <w:gridCol w:w="614"/>
      </w:tblGrid>
      <w:tr>
        <w:trPr>
          <w:jc w:val="center"/>
        </w:trPr>
        <w:tc>
          <w:tcPr>
            <w:tcW w:w="302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行政复议</w:t>
            </w:r>
          </w:p>
        </w:tc>
        <w:tc>
          <w:tcPr>
            <w:tcW w:w="604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行政诉讼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结果维持</w:t>
            </w:r>
          </w:p>
        </w:tc>
        <w:tc>
          <w:tcPr>
            <w:tcW w:w="59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其他结果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尚未审结</w:t>
            </w:r>
          </w:p>
        </w:tc>
        <w:tc>
          <w:tcPr>
            <w:tcW w:w="607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总计</w:t>
            </w:r>
          </w:p>
        </w:tc>
        <w:tc>
          <w:tcPr>
            <w:tcW w:w="3042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未经复议直接起诉</w:t>
            </w:r>
          </w:p>
        </w:tc>
        <w:tc>
          <w:tcPr>
            <w:tcW w:w="300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复议后起诉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9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4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结果维持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结果纠正</w:t>
            </w:r>
          </w:p>
        </w:tc>
        <w:tc>
          <w:tcPr>
            <w:tcW w:w="5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其他结果</w:t>
            </w:r>
          </w:p>
        </w:tc>
        <w:tc>
          <w:tcPr>
            <w:tcW w:w="6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尚未审结</w:t>
            </w:r>
          </w:p>
        </w:tc>
        <w:tc>
          <w:tcPr>
            <w:tcW w:w="5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总计</w:t>
            </w:r>
          </w:p>
        </w:tc>
        <w:tc>
          <w:tcPr>
            <w:tcW w:w="5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结果维持</w:t>
            </w:r>
          </w:p>
        </w:tc>
        <w:tc>
          <w:tcPr>
            <w:tcW w:w="6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结果纠正</w:t>
            </w:r>
          </w:p>
        </w:tc>
        <w:tc>
          <w:tcPr>
            <w:tcW w:w="6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其他结果</w:t>
            </w:r>
          </w:p>
        </w:tc>
        <w:tc>
          <w:tcPr>
            <w:tcW w:w="5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尚未审结</w:t>
            </w:r>
          </w:p>
        </w:tc>
        <w:tc>
          <w:tcPr>
            <w:tcW w:w="6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6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</w:tr>
    </w:tbl>
    <w:p>
      <w:pPr>
        <w:spacing w:line="289" w:lineRule="exact"/>
        <w:ind w:left="711"/>
        <w:rPr>
          <w:rFonts w:ascii="宋体" w:eastAsia="宋体"/>
          <w:b/>
          <w:sz w:val="24"/>
          <w:lang w:eastAsia="zh-CN"/>
        </w:rPr>
      </w:pPr>
      <w:r>
        <w:rPr>
          <w:rFonts w:hint="eastAsia" w:ascii="宋体" w:eastAsia="宋体"/>
          <w:b/>
          <w:color w:val="333333"/>
          <w:sz w:val="24"/>
          <w:lang w:eastAsia="zh-CN"/>
        </w:rPr>
        <w:t>五、存在的主要问题及改进情况</w:t>
      </w:r>
    </w:p>
    <w:p>
      <w:pPr>
        <w:ind w:firstLine="480" w:firstLineChars="200"/>
        <w:rPr>
          <w:rFonts w:asciiTheme="minorEastAsia" w:hAnsiTheme="minorEastAsia" w:eastAsiaTheme="minorEastAsia"/>
          <w:sz w:val="24"/>
          <w:szCs w:val="24"/>
          <w:lang w:eastAsia="zh-CN"/>
        </w:rPr>
      </w:pPr>
      <w:r>
        <w:rPr>
          <w:rFonts w:asciiTheme="minorEastAsia" w:hAnsiTheme="minorEastAsia" w:eastAsiaTheme="minorEastAsia"/>
          <w:sz w:val="24"/>
          <w:szCs w:val="24"/>
          <w:lang w:eastAsia="zh-CN"/>
        </w:rPr>
        <w:t>（一）存在问题</w:t>
      </w:r>
    </w:p>
    <w:p>
      <w:pPr>
        <w:ind w:firstLine="480" w:firstLineChars="200"/>
        <w:rPr>
          <w:rFonts w:asciiTheme="minorEastAsia" w:hAnsiTheme="minorEastAsia" w:eastAsiaTheme="minorEastAsia"/>
          <w:sz w:val="24"/>
          <w:szCs w:val="24"/>
          <w:lang w:eastAsia="zh-CN"/>
        </w:rPr>
      </w:pPr>
      <w:r>
        <w:rPr>
          <w:rFonts w:asciiTheme="minorEastAsia" w:hAnsiTheme="minorEastAsia" w:eastAsiaTheme="minorEastAsia"/>
          <w:sz w:val="24"/>
          <w:szCs w:val="24"/>
          <w:lang w:eastAsia="zh-CN"/>
        </w:rPr>
        <w:t>一是信息公开面对社会宣传力度不够，仍需进一步加强；二是信息公开的内容有待进一步完善；三是信息公开业务操作水平不高，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信息</w:t>
      </w:r>
      <w:r>
        <w:rPr>
          <w:rFonts w:asciiTheme="minorEastAsia" w:hAnsiTheme="minorEastAsia" w:eastAsiaTheme="minorEastAsia"/>
          <w:sz w:val="24"/>
          <w:szCs w:val="24"/>
          <w:lang w:eastAsia="zh-CN"/>
        </w:rPr>
        <w:t>搜集能力有待加强。</w:t>
      </w:r>
    </w:p>
    <w:p>
      <w:pPr>
        <w:ind w:firstLine="480" w:firstLineChars="200"/>
        <w:rPr>
          <w:rFonts w:asciiTheme="minorEastAsia" w:hAnsiTheme="minorEastAsia" w:eastAsiaTheme="minorEastAsia"/>
          <w:sz w:val="24"/>
          <w:szCs w:val="24"/>
          <w:lang w:eastAsia="zh-CN"/>
        </w:rPr>
      </w:pPr>
      <w:r>
        <w:rPr>
          <w:rFonts w:asciiTheme="minorEastAsia" w:hAnsiTheme="minorEastAsia" w:eastAsiaTheme="minorEastAsia"/>
          <w:sz w:val="24"/>
          <w:szCs w:val="24"/>
          <w:lang w:eastAsia="zh-CN"/>
        </w:rPr>
        <w:t>（二）工作打算</w:t>
      </w:r>
    </w:p>
    <w:p>
      <w:pPr>
        <w:ind w:firstLine="480" w:firstLineChars="200"/>
        <w:rPr>
          <w:rFonts w:asciiTheme="minorEastAsia" w:hAnsiTheme="minorEastAsia" w:eastAsiaTheme="minorEastAsia"/>
          <w:sz w:val="24"/>
          <w:szCs w:val="24"/>
          <w:lang w:eastAsia="zh-CN"/>
        </w:rPr>
      </w:pPr>
      <w:r>
        <w:rPr>
          <w:rFonts w:asciiTheme="minorEastAsia" w:hAnsiTheme="minorEastAsia" w:eastAsiaTheme="minorEastAsia"/>
          <w:sz w:val="24"/>
          <w:szCs w:val="24"/>
          <w:lang w:eastAsia="zh-CN"/>
        </w:rPr>
        <w:t>加大宣传和推介力度，向社会披露和解读公众关注度高、公益性强、涉及面广的重要决策等政府信息；积极利用信息化手段，丰富政府信息服务渠道，扩大公开内容和范围。积极参加市政府组织的信息公开业务培训，注重条线横向联系、纵向指导的沟通协调机制，进一步提高信息公开业务操作水平；进一步落实信息公开工作各项规章制度，加强政府信息公开。</w:t>
      </w:r>
    </w:p>
    <w:p>
      <w:pPr>
        <w:ind w:left="711"/>
        <w:rPr>
          <w:rFonts w:ascii="宋体" w:eastAsia="宋体"/>
          <w:b/>
          <w:sz w:val="24"/>
          <w:lang w:eastAsia="zh-CN"/>
        </w:rPr>
      </w:pPr>
      <w:r>
        <w:rPr>
          <w:rFonts w:hint="eastAsia" w:ascii="宋体" w:eastAsia="宋体"/>
          <w:b/>
          <w:color w:val="333333"/>
          <w:sz w:val="24"/>
          <w:lang w:eastAsia="zh-CN"/>
        </w:rPr>
        <w:t>六、其他需要报告的事项</w:t>
      </w:r>
    </w:p>
    <w:p>
      <w:pPr>
        <w:spacing w:before="5"/>
        <w:ind w:left="711"/>
        <w:rPr>
          <w:rFonts w:ascii="宋体" w:eastAsia="宋体"/>
          <w:sz w:val="24"/>
        </w:rPr>
      </w:pPr>
      <w:r>
        <w:rPr>
          <w:rFonts w:hint="eastAsia" w:ascii="宋体" w:eastAsia="宋体"/>
          <w:color w:val="333333"/>
          <w:sz w:val="24"/>
          <w:lang w:eastAsia="zh-CN"/>
        </w:rPr>
        <w:t>无。</w:t>
      </w:r>
    </w:p>
    <w:p>
      <w:pPr>
        <w:ind w:firstLine="480" w:firstLineChars="200"/>
        <w:rPr>
          <w:rFonts w:ascii="宋体" w:hAnsi="宋体" w:eastAsia="宋体" w:cs="宋体"/>
          <w:sz w:val="24"/>
          <w:szCs w:val="24"/>
        </w:rPr>
      </w:pPr>
      <w:bookmarkStart w:id="0" w:name="_GoBack"/>
      <w:bookmarkEnd w:id="0"/>
    </w:p>
    <w:sectPr>
      <w:footerReference r:id="rId3" w:type="default"/>
      <w:pgSz w:w="11906" w:h="16838"/>
      <w:pgMar w:top="1440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76919734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4075A3"/>
    <w:multiLevelType w:val="singleLevel"/>
    <w:tmpl w:val="704075A3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4Nzk1ZGI3NDAyZTBlMDJmOTM4OTYzNTBhNTg2YzYifQ=="/>
  </w:docVars>
  <w:rsids>
    <w:rsidRoot w:val="00EE4669"/>
    <w:rsid w:val="000429A0"/>
    <w:rsid w:val="00096DC5"/>
    <w:rsid w:val="000A26C7"/>
    <w:rsid w:val="000B03EF"/>
    <w:rsid w:val="000C1993"/>
    <w:rsid w:val="000C67C0"/>
    <w:rsid w:val="000E0C5E"/>
    <w:rsid w:val="000E192A"/>
    <w:rsid w:val="000F054B"/>
    <w:rsid w:val="000F6CBB"/>
    <w:rsid w:val="00114B99"/>
    <w:rsid w:val="00155746"/>
    <w:rsid w:val="00160AE1"/>
    <w:rsid w:val="00191C02"/>
    <w:rsid w:val="001D4047"/>
    <w:rsid w:val="002103ED"/>
    <w:rsid w:val="002139CE"/>
    <w:rsid w:val="00262B9B"/>
    <w:rsid w:val="00300E1E"/>
    <w:rsid w:val="00336CF7"/>
    <w:rsid w:val="00344258"/>
    <w:rsid w:val="0035451E"/>
    <w:rsid w:val="003D3B92"/>
    <w:rsid w:val="003E711E"/>
    <w:rsid w:val="00416D51"/>
    <w:rsid w:val="004253CE"/>
    <w:rsid w:val="004967D0"/>
    <w:rsid w:val="004D73DA"/>
    <w:rsid w:val="004E4B70"/>
    <w:rsid w:val="00504BDA"/>
    <w:rsid w:val="00515455"/>
    <w:rsid w:val="00585A9C"/>
    <w:rsid w:val="00594038"/>
    <w:rsid w:val="005C606B"/>
    <w:rsid w:val="005D128B"/>
    <w:rsid w:val="00634E91"/>
    <w:rsid w:val="00666084"/>
    <w:rsid w:val="00667371"/>
    <w:rsid w:val="007178F5"/>
    <w:rsid w:val="00732470"/>
    <w:rsid w:val="00782C19"/>
    <w:rsid w:val="007B17B1"/>
    <w:rsid w:val="007B5621"/>
    <w:rsid w:val="007B6DE2"/>
    <w:rsid w:val="0080399C"/>
    <w:rsid w:val="00822540"/>
    <w:rsid w:val="00831E99"/>
    <w:rsid w:val="00844529"/>
    <w:rsid w:val="0084463A"/>
    <w:rsid w:val="00864104"/>
    <w:rsid w:val="00866A45"/>
    <w:rsid w:val="00882FCE"/>
    <w:rsid w:val="00887377"/>
    <w:rsid w:val="008C4B26"/>
    <w:rsid w:val="00915401"/>
    <w:rsid w:val="00941A7B"/>
    <w:rsid w:val="009458D3"/>
    <w:rsid w:val="009601BA"/>
    <w:rsid w:val="009737BC"/>
    <w:rsid w:val="009E0E6F"/>
    <w:rsid w:val="00A04FB9"/>
    <w:rsid w:val="00A45231"/>
    <w:rsid w:val="00A7351A"/>
    <w:rsid w:val="00A76BD9"/>
    <w:rsid w:val="00A771E0"/>
    <w:rsid w:val="00AD6863"/>
    <w:rsid w:val="00B16D57"/>
    <w:rsid w:val="00B34B60"/>
    <w:rsid w:val="00B50AB5"/>
    <w:rsid w:val="00B751E4"/>
    <w:rsid w:val="00B83021"/>
    <w:rsid w:val="00B86BEF"/>
    <w:rsid w:val="00B93336"/>
    <w:rsid w:val="00BC6098"/>
    <w:rsid w:val="00C834FE"/>
    <w:rsid w:val="00CD1012"/>
    <w:rsid w:val="00CF3763"/>
    <w:rsid w:val="00D72931"/>
    <w:rsid w:val="00DC3320"/>
    <w:rsid w:val="00DF0BB0"/>
    <w:rsid w:val="00E05F91"/>
    <w:rsid w:val="00E1093B"/>
    <w:rsid w:val="00E1401D"/>
    <w:rsid w:val="00E40A4D"/>
    <w:rsid w:val="00E73B0E"/>
    <w:rsid w:val="00EA0B0A"/>
    <w:rsid w:val="00EB1AAF"/>
    <w:rsid w:val="00EB486F"/>
    <w:rsid w:val="00EC161F"/>
    <w:rsid w:val="00EC335E"/>
    <w:rsid w:val="00EE4669"/>
    <w:rsid w:val="00EE507F"/>
    <w:rsid w:val="00EF5CFE"/>
    <w:rsid w:val="00F46632"/>
    <w:rsid w:val="00F56DF8"/>
    <w:rsid w:val="00FF4EA9"/>
    <w:rsid w:val="01C74C41"/>
    <w:rsid w:val="03615DE6"/>
    <w:rsid w:val="04B70161"/>
    <w:rsid w:val="05066EA2"/>
    <w:rsid w:val="06A434A5"/>
    <w:rsid w:val="0AC4028D"/>
    <w:rsid w:val="0B924A77"/>
    <w:rsid w:val="0D1C7438"/>
    <w:rsid w:val="0D9A07CB"/>
    <w:rsid w:val="0EF95E3E"/>
    <w:rsid w:val="0F841BAC"/>
    <w:rsid w:val="0FFF2C05"/>
    <w:rsid w:val="101A7A9C"/>
    <w:rsid w:val="10D94ED9"/>
    <w:rsid w:val="12AB7BEB"/>
    <w:rsid w:val="13916BB7"/>
    <w:rsid w:val="16F67B0A"/>
    <w:rsid w:val="18DE0B8B"/>
    <w:rsid w:val="1BF24C7D"/>
    <w:rsid w:val="1D326A70"/>
    <w:rsid w:val="1EF47C7F"/>
    <w:rsid w:val="1F4E26E0"/>
    <w:rsid w:val="21463587"/>
    <w:rsid w:val="243F343F"/>
    <w:rsid w:val="28975D5D"/>
    <w:rsid w:val="2AFE7BEA"/>
    <w:rsid w:val="2B25609B"/>
    <w:rsid w:val="2BC71311"/>
    <w:rsid w:val="2F1232C3"/>
    <w:rsid w:val="2F560859"/>
    <w:rsid w:val="2F56299D"/>
    <w:rsid w:val="31C902D1"/>
    <w:rsid w:val="345E7490"/>
    <w:rsid w:val="34707FB0"/>
    <w:rsid w:val="36781544"/>
    <w:rsid w:val="371D10E5"/>
    <w:rsid w:val="38FD2077"/>
    <w:rsid w:val="393E5745"/>
    <w:rsid w:val="3B281EB3"/>
    <w:rsid w:val="3B291E3A"/>
    <w:rsid w:val="3BA453BA"/>
    <w:rsid w:val="3E620C74"/>
    <w:rsid w:val="3ED76D58"/>
    <w:rsid w:val="400E44FB"/>
    <w:rsid w:val="41D16C02"/>
    <w:rsid w:val="450C3AC5"/>
    <w:rsid w:val="45333C19"/>
    <w:rsid w:val="45801017"/>
    <w:rsid w:val="49181DCF"/>
    <w:rsid w:val="492A6A34"/>
    <w:rsid w:val="4A02676F"/>
    <w:rsid w:val="4BCC7E94"/>
    <w:rsid w:val="4D5301FB"/>
    <w:rsid w:val="4ED123EF"/>
    <w:rsid w:val="4FAE66AC"/>
    <w:rsid w:val="51D907C9"/>
    <w:rsid w:val="524F43BC"/>
    <w:rsid w:val="532A236B"/>
    <w:rsid w:val="56B07488"/>
    <w:rsid w:val="592605B1"/>
    <w:rsid w:val="59CF4E9D"/>
    <w:rsid w:val="5B51267D"/>
    <w:rsid w:val="5C760D5E"/>
    <w:rsid w:val="608B5AEC"/>
    <w:rsid w:val="60C72177"/>
    <w:rsid w:val="61382CF4"/>
    <w:rsid w:val="663C01D2"/>
    <w:rsid w:val="669B2BD8"/>
    <w:rsid w:val="66EF5667"/>
    <w:rsid w:val="68EE3DB7"/>
    <w:rsid w:val="69895E31"/>
    <w:rsid w:val="69912B2A"/>
    <w:rsid w:val="6DA66DF4"/>
    <w:rsid w:val="6F0E25FB"/>
    <w:rsid w:val="6F9D3BB3"/>
    <w:rsid w:val="6FB026B2"/>
    <w:rsid w:val="70900DB0"/>
    <w:rsid w:val="70E7254E"/>
    <w:rsid w:val="71917722"/>
    <w:rsid w:val="72117322"/>
    <w:rsid w:val="72544ACF"/>
    <w:rsid w:val="72B0307D"/>
    <w:rsid w:val="72F22421"/>
    <w:rsid w:val="739A1583"/>
    <w:rsid w:val="74484734"/>
    <w:rsid w:val="774B1F49"/>
    <w:rsid w:val="792539DA"/>
    <w:rsid w:val="79F53FD4"/>
    <w:rsid w:val="7B0C77F2"/>
    <w:rsid w:val="7C805C6D"/>
    <w:rsid w:val="7D5102A0"/>
    <w:rsid w:val="7FB8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2"/>
      <w:szCs w:val="32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FollowedHyperlink"/>
    <w:basedOn w:val="8"/>
    <w:semiHidden/>
    <w:unhideWhenUsed/>
    <w:uiPriority w:val="99"/>
    <w:rPr>
      <w:color w:val="333333"/>
      <w:u w:val="none"/>
    </w:rPr>
  </w:style>
  <w:style w:type="character" w:styleId="10">
    <w:name w:val="Hyperlink"/>
    <w:basedOn w:val="8"/>
    <w:semiHidden/>
    <w:unhideWhenUsed/>
    <w:uiPriority w:val="99"/>
    <w:rPr>
      <w:color w:val="333333"/>
      <w:u w:val="none"/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1018</Words>
  <Characters>1040</Characters>
  <Lines>10</Lines>
  <Paragraphs>2</Paragraphs>
  <TotalTime>1</TotalTime>
  <ScaleCrop>false</ScaleCrop>
  <LinksUpToDate>false</LinksUpToDate>
  <CharactersWithSpaces>1042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2021-01-09T06:07:00Z</dcterms:created>
  <dc:creator>lenovo</dc:creator>
  <cp:lastModifiedBy>任曼曼</cp:lastModifiedBy>
  <cp:lastPrinted>2021-01-14T07:20:00Z</cp:lastPrinted>
  <dcterms:modified xsi:type="dcterms:W3CDTF">2023-02-01T06:42:11Z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97FEFCB10DA14C8C9B7E747115EE5E50</vt:lpwstr>
  </property>
</Properties>
</file>